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082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安阳市肿瘤患者全生命周期</w:t>
      </w:r>
    </w:p>
    <w:p w14:paraId="610727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健康管理平台</w:t>
      </w:r>
      <w:r>
        <w:rPr>
          <w:rFonts w:hint="eastAsia" w:ascii="方正小标宋简体" w:hAnsi="方正小标宋简体" w:eastAsia="方正小标宋简体" w:cs="方正小标宋简体"/>
          <w:b w:val="0"/>
          <w:bCs w:val="0"/>
          <w:sz w:val="44"/>
          <w:szCs w:val="44"/>
          <w:lang w:val="en-US" w:eastAsia="zh-CN"/>
        </w:rPr>
        <w:t>功能</w:t>
      </w:r>
      <w:r>
        <w:rPr>
          <w:rFonts w:hint="eastAsia" w:ascii="方正小标宋简体" w:hAnsi="方正小标宋简体" w:eastAsia="方正小标宋简体" w:cs="方正小标宋简体"/>
          <w:b w:val="0"/>
          <w:bCs w:val="0"/>
          <w:sz w:val="44"/>
          <w:szCs w:val="44"/>
        </w:rPr>
        <w:t>需求</w:t>
      </w:r>
    </w:p>
    <w:p w14:paraId="5CDE2F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总体要求</w:t>
      </w:r>
    </w:p>
    <w:p w14:paraId="60EE51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落实肿瘤患者“防、筛、诊、治、康”五位一体全周期管理，规范肿瘤管理流程，提升肿瘤患者随访效率及防控水平，结合我院肿瘤诊疗工作实际，要求该系统，聚焦肿瘤患者管理的核心功能与应用场景，确保系统贴合临床、防控、管理全需求，助力构建规范化、一体化的肿瘤患者全流程管理体系。要求以肿瘤患者全生命周期管理为核心，紧扣“防、筛、诊、治、康”五位一体总体要求，</w:t>
      </w: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sz w:val="32"/>
          <w:szCs w:val="32"/>
        </w:rPr>
        <w:t>肿瘤报卡、肿瘤专病管理、专病随访等核心功能，实现肿瘤防控从源头预防、早期筛查，到诊断、规范治疗、长期康复的全流程闭环管理。</w:t>
      </w:r>
    </w:p>
    <w:p w14:paraId="1B8686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“防”—肿瘤预防管理需求：聚焦源头预防，搭建科普与高危人群管控模块。内置常见肿瘤预防科普知识库，支持医护人员更新；可向</w:t>
      </w:r>
      <w:r>
        <w:rPr>
          <w:rFonts w:hint="eastAsia" w:ascii="仿宋_GB2312" w:hAnsi="仿宋_GB2312" w:eastAsia="仿宋_GB2312" w:cs="仿宋_GB2312"/>
          <w:sz w:val="32"/>
          <w:szCs w:val="32"/>
          <w:lang w:val="en-US" w:eastAsia="zh-CN"/>
        </w:rPr>
        <w:t>医院平台</w:t>
      </w:r>
      <w:r>
        <w:rPr>
          <w:rFonts w:hint="eastAsia" w:ascii="仿宋_GB2312" w:hAnsi="仿宋_GB2312" w:eastAsia="仿宋_GB2312" w:cs="仿宋_GB2312"/>
          <w:sz w:val="32"/>
          <w:szCs w:val="32"/>
        </w:rPr>
        <w:t>及患者推送；支持录入管理高危人群信息、建立档案并标记等级，督促基层开展干预指导，我院可实时查看进展并精准干预；自动统计防控数据，生成可视化报表支撑决策。</w:t>
      </w:r>
    </w:p>
    <w:p w14:paraId="436517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筛”—肿瘤筛查管理需求：实现筛查数据统一管理，提升早期检出率。支持对接筛查信息并实时同步，避免重复录入；系统识别标记异常病例，我院可查看详情、跟踪后续诊疗，形成闭环管理；自动统计筛查人数、阳性检出率等，生成报表。</w:t>
      </w:r>
    </w:p>
    <w:p w14:paraId="057C19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“诊”—肿瘤诊断管理需求：整合诊疗资源，规范流程。支持对接查看患者完整诊断及病历信息。</w:t>
      </w:r>
    </w:p>
    <w:p w14:paraId="409846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“治”—肿瘤治疗管理需求：规范治疗干预，系统对接 </w:t>
      </w:r>
      <w:r>
        <w:rPr>
          <w:rFonts w:hint="eastAsia" w:ascii="仿宋_GB2312" w:hAnsi="仿宋_GB2312" w:eastAsia="仿宋_GB2312" w:cs="仿宋_GB2312"/>
          <w:sz w:val="32"/>
          <w:szCs w:val="32"/>
          <w:lang w:val="en-US" w:eastAsia="zh-CN"/>
        </w:rPr>
        <w:t>院内</w:t>
      </w:r>
      <w:r>
        <w:rPr>
          <w:rFonts w:hint="eastAsia" w:ascii="仿宋_GB2312" w:hAnsi="仿宋_GB2312" w:eastAsia="仿宋_GB2312" w:cs="仿宋_GB2312"/>
          <w:sz w:val="32"/>
          <w:szCs w:val="32"/>
        </w:rPr>
        <w:t>系统获取治疗信息，针对不同治疗方案制定个性化健康管理措施。</w:t>
      </w:r>
    </w:p>
    <w:p w14:paraId="507D48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康”—肿瘤康复管理需求：聚焦长期康复，结合专病随访实现全流程管理。为患者制定含饮食、运动、复诊提醒的个性化康复计划，医护人员可跟踪执行；定期评估患者康复情况并调整计划；推送康复科普，支持医护人员发送个性化指导；统计康复数据，为优化方案提供依据。</w:t>
      </w:r>
    </w:p>
    <w:p w14:paraId="7F1E80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管</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 w:hAnsi="仿宋" w:eastAsia="仿宋" w:cs="仿宋"/>
          <w:sz w:val="32"/>
          <w:szCs w:val="32"/>
          <w:lang w:val="en-US" w:eastAsia="zh-CN"/>
        </w:rPr>
        <w:t>数据安全协同管理：支持分级权限管控，数据脱敏留存，操作全程留痕，符合医疗数据安全合规要求，支撑区域肿瘤防控监测。</w:t>
      </w:r>
    </w:p>
    <w:p w14:paraId="48C3CB3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软件</w:t>
      </w:r>
      <w:r>
        <w:rPr>
          <w:rFonts w:hint="eastAsia" w:ascii="黑体" w:hAnsi="黑体" w:eastAsia="黑体" w:cs="黑体"/>
          <w:sz w:val="32"/>
          <w:szCs w:val="32"/>
        </w:rPr>
        <w:t>功能要求</w:t>
      </w:r>
    </w:p>
    <w:p w14:paraId="20664A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2.1. 智能随访系统</w:t>
      </w:r>
    </w:p>
    <w:p w14:paraId="4E284A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系统用于所有肿瘤患者的智能随访场景，包含智能语音能力平台、出院随访、满意度调查、院内宣教等模块。系统核心业务流程为当患者出院后，系统根据患者的科室、诊断等信息，自动为患者匹配相应的随访计划，并在相应节点自动执行，随访形式包含智能语音、短信、问卷等，系统自动执行完成后，应自动识别随访过程中的异常信息，如：用</w:t>
      </w:r>
      <w:r>
        <w:rPr>
          <w:rFonts w:hint="eastAsia" w:ascii="仿宋_GB2312" w:hAnsi="仿宋_GB2312" w:eastAsia="仿宋_GB2312" w:cs="仿宋_GB2312"/>
          <w:sz w:val="32"/>
          <w:szCs w:val="32"/>
          <w:lang w:val="en-US" w:eastAsia="zh-CN"/>
        </w:rPr>
        <w:t>复诊情况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检查结果</w:t>
      </w:r>
      <w:r>
        <w:rPr>
          <w:rFonts w:hint="eastAsia" w:ascii="仿宋_GB2312" w:hAnsi="仿宋_GB2312" w:eastAsia="仿宋_GB2312" w:cs="仿宋_GB2312"/>
          <w:sz w:val="32"/>
          <w:szCs w:val="32"/>
        </w:rPr>
        <w:t>异常等，并生成随访待办，指导随访老师进行跟进。为满足上述要求，系统应具备达到拟人水平的智能语音能力、丰富的随访话术、宣教知识库等。</w:t>
      </w:r>
    </w:p>
    <w:p w14:paraId="0F76D50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2.1.1. 患者 AI 随访</w:t>
      </w:r>
    </w:p>
    <w:p w14:paraId="2DB890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患者信息获取：支持对接院内系统，自动获取患者出院信息，形成随访任务，同时支持手动导入患者信息。</w:t>
      </w:r>
    </w:p>
    <w:p w14:paraId="4C52D4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黑名单：支持针对患者死亡、患者依从性差、号码错误等情况构建全院黑名单库，以降低对患者及家属的干扰。全院黑名单库全院系统用户共享共管。支持 AI 机器人与患者对话中，发现患者态度差不愿配合随访、家属接听表达患者去世情况时，系统可自动判别并将患者加入黑名单。支持从 </w:t>
      </w:r>
      <w:r>
        <w:rPr>
          <w:rFonts w:hint="eastAsia" w:ascii="仿宋_GB2312" w:hAnsi="仿宋_GB2312" w:eastAsia="仿宋_GB2312" w:cs="仿宋_GB2312"/>
          <w:sz w:val="32"/>
          <w:szCs w:val="32"/>
          <w:lang w:val="en-US" w:eastAsia="zh-CN"/>
        </w:rPr>
        <w:t>院内</w:t>
      </w:r>
      <w:r>
        <w:rPr>
          <w:rFonts w:hint="eastAsia" w:ascii="仿宋_GB2312" w:hAnsi="仿宋_GB2312" w:eastAsia="仿宋_GB2312" w:cs="仿宋_GB2312"/>
          <w:sz w:val="32"/>
          <w:szCs w:val="32"/>
        </w:rPr>
        <w:t>系统中获取患者死亡情况时，可自动将患者加入黑名单，后期不再随访。支持用户在使用系统时发现有患者依从性差等情况时，可在随访结果页面手动添加到黑名单库，后期不再进行随访。</w:t>
      </w:r>
    </w:p>
    <w:p w14:paraId="2E6FF5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随访话术库：提供不少于覆盖300病种的随访话术库。</w:t>
      </w:r>
    </w:p>
    <w:p w14:paraId="543E3D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问卷分值配置：支持为问卷每题设置分值，支持设置各题评分权重，计算总分值。</w:t>
      </w:r>
    </w:p>
    <w:p w14:paraId="2507D7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随访待办：支持自动识别随访过程中的异常信息，形成随访待办。</w:t>
      </w:r>
    </w:p>
    <w:p w14:paraId="1C0816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专病路径：支持按照专病设置随访路径任务。</w:t>
      </w:r>
    </w:p>
    <w:p w14:paraId="2BAD0D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常干预数据分析：支持查看系统筛查出来的随访异常患者数、异常筛查率。支持查看异常的原因分类，包含随访病情异常、复诊依从性异常、用药依从性异常、睡眠情况异常、电话未接通、电话中断。支持针对异常患者，可查看 AI 干预预处理次数、人工干预次数、未处理数等。支持对人工干预异常任务及时性的统计，例如人工1周内、2周内、2周以上的处理数以及所占比例等。</w:t>
      </w:r>
    </w:p>
    <w:p w14:paraId="07CBAC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2.1.2. 满意度调查</w:t>
      </w:r>
    </w:p>
    <w:p w14:paraId="2A14FD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呼叫频次配置：支持设置“XX天内不可重复外呼”，天数支持自定义。</w:t>
      </w:r>
    </w:p>
    <w:p w14:paraId="7D48A1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动生成满意度报表：支持根据统计结果自动生成满意度报表，按照科室展示呼叫人次、接通人次、接通率等。支持按照外呼时间以及考核周期（月、季度、年、自定义周期）查看满意度报表。支持各科室满意度调查明细查看，针对满意度问题中各问题回答明细下查看，并支持明细导出。</w:t>
      </w:r>
    </w:p>
    <w:p w14:paraId="5CDB12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2.1.3. 肿瘤知识宣教</w:t>
      </w:r>
    </w:p>
    <w:p w14:paraId="38F06E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教文章展示：支持提供基础宣教库文章。支持展示该账号下所有宣教文章。展示宣教名称、病种、创建者、创建时间等。支持宣教文章预览、复制、编辑、删除、复制链接操作。支持按照创建时间、宣教名称、宣教来源等维度的筛选。支持用药知识、疾病科普、运动营养等类型的宣教文章。系统至少具备不少于15000篇的宣教知识库。</w:t>
      </w:r>
    </w:p>
    <w:p w14:paraId="4FE2E0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2.1.4. 科研助手</w:t>
      </w:r>
    </w:p>
    <w:p w14:paraId="2EC79C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支持维护不同病种的科研随访指标，配置不同的采集方式（AI 电话，问卷量表，指标监测，人工随访），通过人工与 AI 耦合的方式便捷采集患者在院外的数据，提升医护人员随访的效率。支持科研患者队列分组、科研方案指标配置、科研任务创建与执行、人机耦合任务处理功能。</w:t>
      </w:r>
    </w:p>
    <w:p w14:paraId="3A8105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2.1.5. 智能随访能力平台</w:t>
      </w:r>
    </w:p>
    <w:p w14:paraId="17D3B7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语音识别准确率：支持医疗场景下的语音识别准确率达到94%及以上（需提供第三方检测机构出具的 CMA 或 ilac-MRA 或 CNAS 标识的检测报告扫描件，中标后支持原件备查）。</w:t>
      </w:r>
    </w:p>
    <w:p w14:paraId="400123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语义分析：支持人机交互场景下，使用语义理解引擎了解患者说话意图，语义理解的正确率达到95%（需提供第三方检测机构出具的 CMA 或 ilac-MRA 或 CNAS 标识的检测报告扫描件，中标后支持原件备查）。</w:t>
      </w:r>
    </w:p>
    <w:p w14:paraId="186EFC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多轮会话管理：支持人机交互过程中，AI 机器人结合话术设计及患者前后回答内容，自动控制交互流程，实现多个问题多轮互动，交互正确率达到96%（需提供第三方检测机构出具的 CMA 或 ilac-MRA 或 CNAS 标识的检测报告扫描件，中标后支持原件备查）。</w:t>
      </w:r>
    </w:p>
    <w:p w14:paraId="601347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呼大模型话术：支持结合大模型能力在电话随访中根据患者的回答动态生成个性化回复，实现患者疑问的解答及个性化宣教。支持通过大模型实现随访问题的动态调度，如询问患者症状时患者回答了复诊情况，后续复诊问题可自动跳过。</w:t>
      </w:r>
    </w:p>
    <w:p w14:paraId="056E0A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 肿瘤患者精细化管理系统</w:t>
      </w:r>
    </w:p>
    <w:p w14:paraId="500D29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系统用于对纳管的肿瘤患者开展长期精细化管理，系统自动识别患者信息，进行健康画像，并根据画像信息，自动制定康复计划，包含复诊提醒、药事服务、康复指导、随访、健康档案、生活方式干预、健康知识等，并自动执行。</w:t>
      </w:r>
    </w:p>
    <w:p w14:paraId="13EB45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2.2.1. 患者画像</w:t>
      </w:r>
    </w:p>
    <w:p w14:paraId="1D6683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患者画像提取：支持根据同步的患者院内病历文书内容，通过画像引擎提取其结构化的患者画像。</w:t>
      </w:r>
    </w:p>
    <w:p w14:paraId="247D7A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患者画像审核：支持针对提取的患者画像信息进行人工复核。</w:t>
      </w:r>
    </w:p>
    <w:p w14:paraId="52F549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非院内信息画像：支持通过问卷任务或者二维码方式采集患者非院内就诊信息，按照病种配置对应的画像结论。</w:t>
      </w:r>
    </w:p>
    <w:p w14:paraId="20BC46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2.2.2. 生成康复计划</w:t>
      </w:r>
    </w:p>
    <w:p w14:paraId="76CCF1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生成个性化康复计划：根据患者独有画像自动生成个性化康复计划，路径包含：重点关注、饮食建议、运动指导、用药指导、复诊提醒、结果跟进、专病随访、病情评估等内容。</w:t>
      </w:r>
    </w:p>
    <w:p w14:paraId="47CB08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2.2.3. 康复计划执行</w:t>
      </w:r>
    </w:p>
    <w:p w14:paraId="312996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康复计划执行：支持患者通过患者端查看康复计划。支持展示内容包括但不限于：复诊提醒、拆线提醒、换药提醒、用药指导、饮食建议、居家护理、运动指导、风险规避、定期复查、日常指标监测、病情评估、结果跟进。</w:t>
      </w:r>
    </w:p>
    <w:p w14:paraId="65C270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日待办：支持将患者端每日要关注的任务自动生成每日待办，进入患者端时自动定位至当前日期并展示当日任务。支持将今日之前未完成任务进行标记提醒。支持患者左右拖拽查看历史和未来的任务。支持快速定位至今日任务。</w:t>
      </w:r>
    </w:p>
    <w:p w14:paraId="1E5B16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2.2.4. 指标监测</w:t>
      </w:r>
    </w:p>
    <w:p w14:paraId="1E630E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指标上传：支持连接医院协调接口的智能硬件设备（血压计、血糖仪），自动上传/手动上传健康监测数据，如血压、血糖等数据。</w:t>
      </w:r>
    </w:p>
    <w:p w14:paraId="40C55E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指标异常提醒：支持指标数据长传后自动判断是否异常，在患者端呈现结果。支持根据监测结果中异常测量情况自动触发智能外呼，了解患者情况并进行宣教指导。</w:t>
      </w:r>
    </w:p>
    <w:p w14:paraId="191B84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2.2.5. 康复计划更新</w:t>
      </w:r>
    </w:p>
    <w:p w14:paraId="430D1B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患者画像变更：支持根据患者的复诊情况等更新患者画像。支持提醒医生有患者画像变更。</w:t>
      </w:r>
    </w:p>
    <w:p w14:paraId="363219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康复计划更新：支持康复计划根据患者画像更新而更新。支持康复计划的新增任务、修改任务、查看任务和审核任务。</w:t>
      </w:r>
    </w:p>
    <w:p w14:paraId="31CD6E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2.2.6. 患者咨询</w:t>
      </w:r>
    </w:p>
    <w:p w14:paraId="779A67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患者发起咨询：支持患者通过患者端发起患者咨询。</w:t>
      </w:r>
    </w:p>
    <w:p w14:paraId="1E563B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AI 回复：支持 AI 常规回复，诸如招呼语、兜底回答、排班挂号、就诊复查等已维护的咨询问答库内容。支持针对患者问题调用大模型进行风险分类，低风险问题生产答案后直接回复患者，高风险问题生产答案后发给医生确认。</w:t>
      </w:r>
    </w:p>
    <w:p w14:paraId="39EF11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生回复：支持进入列表查看详情并支持回复患者消息，可查看包括患者姓名、性别等基本信息，以及患者的就诊记录等诊疗信息。支持根据患者画像生成推荐回复内容供医生参考，支持医生引用修改，经医生确认后发送患者端。</w:t>
      </w:r>
    </w:p>
    <w:p w14:paraId="66A864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2.2.7. 医生移动端</w:t>
      </w:r>
    </w:p>
    <w:p w14:paraId="125A8C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数据概览：支持展示患者咨询、患者预约等快捷入口。支持展示服务中患者数、累计管理患者数。</w:t>
      </w:r>
    </w:p>
    <w:p w14:paraId="663A8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绑定患者列表：支持绑定患者根据出入院状态等标签进行筛选。支持输入患者姓名、诊断，快速检索目标患者。</w:t>
      </w:r>
    </w:p>
    <w:p w14:paraId="3C7294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患者信息查看：支持查看患者的姓名、年龄、诊断等基本信息。支持查看患者的就诊记录。支持查看患者的康复计划。支持查看发送给患者的健康宣教文章。支持咨询回复。</w:t>
      </w:r>
    </w:p>
    <w:p w14:paraId="109FA0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2.2.8. 康复计划知识库</w:t>
      </w:r>
    </w:p>
    <w:p w14:paraId="365E22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系统具备完善的知识库，包括常见肿瘤的健康管理计划，不低于10种肿瘤。</w:t>
      </w:r>
    </w:p>
    <w:p w14:paraId="0B25F8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2.3. 肿瘤患者信息填报规范(符合国家肿瘤登记要求)</w:t>
      </w:r>
    </w:p>
    <w:p w14:paraId="1BA078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核心职责</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辖区数据汇总。</w:t>
      </w:r>
    </w:p>
    <w:p w14:paraId="2378B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填报信息</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患者档案：列表展示全量患者数据，按行政区划、机构级别、确诊时间、生存状态筛选；</w:t>
      </w:r>
    </w:p>
    <w:p w14:paraId="0EA346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肿瘤患者登记：摸排、填报、确诊编码、汇总审核。</w:t>
      </w:r>
    </w:p>
    <w:p w14:paraId="37DD0D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手动导入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单条新增：按对应级别字段录入，自动关联上级机构。</w:t>
      </w:r>
    </w:p>
    <w:p w14:paraId="384930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批量导入：提供专用 Excel 模板，导入后自动查重、提示错误。</w:t>
      </w:r>
    </w:p>
    <w:p w14:paraId="4FBD9E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要求:中标候选人公示期间,招标人有权通知第一中标候选人携带全套资料、系统现场核验功能。逾期不来或者系统不满足使用需求,直接取消资格</w:t>
      </w:r>
    </w:p>
    <w:p w14:paraId="4C0280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 xml:space="preserve"> </w:t>
      </w:r>
      <w:r>
        <w:rPr>
          <w:rFonts w:hint="eastAsia" w:ascii="黑体" w:hAnsi="黑体" w:eastAsia="黑体" w:cs="黑体"/>
          <w:sz w:val="32"/>
          <w:szCs w:val="32"/>
          <w:highlight w:val="none"/>
          <w:lang w:val="en-US" w:eastAsia="zh-CN"/>
        </w:rPr>
        <w:t>网络、硬件</w:t>
      </w:r>
      <w:r>
        <w:rPr>
          <w:rFonts w:hint="eastAsia" w:ascii="黑体" w:hAnsi="黑体" w:eastAsia="黑体" w:cs="黑体"/>
          <w:sz w:val="32"/>
          <w:szCs w:val="32"/>
          <w:highlight w:val="none"/>
        </w:rPr>
        <w:t>要求</w:t>
      </w:r>
    </w:p>
    <w:p w14:paraId="5A7673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val="0"/>
          <w:bCs w:val="0"/>
          <w:sz w:val="32"/>
          <w:szCs w:val="32"/>
          <w:lang w:val="en-US" w:eastAsia="zh-CN"/>
        </w:rPr>
        <w:t>平台通过专网进行访问，采用B/S架构，以网页版形式登录使用，无需部署额外的客户端程序。</w:t>
      </w:r>
    </w:p>
    <w:p w14:paraId="16616A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2、平台需适配安阳市专网网络安全要求，确保数据传输链路安全，支持HTTPS加密传输，满足等保相关合规要求。</w:t>
      </w:r>
      <w:r>
        <w:rPr>
          <w:rFonts w:hint="eastAsia" w:ascii="仿宋_GB2312" w:hAnsi="仿宋_GB2312" w:eastAsia="仿宋_GB2312" w:cs="仿宋_GB2312"/>
          <w:b w:val="0"/>
          <w:bCs w:val="0"/>
          <w:color w:val="auto"/>
          <w:sz w:val="32"/>
          <w:szCs w:val="32"/>
          <w:lang w:val="en-US" w:eastAsia="zh-CN"/>
        </w:rPr>
        <w:t>数据对接须采用标准接口规范，支持按行政区划、机构级别等进行数据分级授权与汇总上报。</w:t>
      </w:r>
    </w:p>
    <w:p w14:paraId="046326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本项目所有硬件设备全部上云，云资源需部署在安阳市内云平台，且云资源租赁、网络带宽、安全防护等费用均由中标方承担，硬件设备包括但不限于：服务器、数据库、网络安全相关设备、AI算力等。项目服务期满后，硬件设备归中标方所有，所有数据与软件永久使用授权归院方所有。</w:t>
      </w:r>
    </w:p>
    <w:p w14:paraId="6DFE31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为保障系统运行的可靠性、安全性和连续性，所部署的云环境须通过网络安全等级保护三级测评，提供相应等保证明材料。中标方须在服务期内确保云平台符合等保三级要求，定期开展安全加固与漏洞扫描，对系统运行中的各类安全事件（包括但不限于网络攻击、数据泄露、病毒入侵、系统入侵等）进行实时监测和应急处置，并在安全事件发生后24小时内向院方提交事件报告及整改方案。等保测评及相关安全服务费用由中标方承担。服务期满后，如院方已自建本地机房并需将云上数据迁回本地，中标方须免费配合完成数据迁移工作，迁移过程中产生的全部费用由中标方承担，且须确保迁移后数据的完整性、可用性及统计分析功能不受影响。</w:t>
      </w:r>
    </w:p>
    <w:p w14:paraId="516A1E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w:t>
      </w:r>
      <w:r>
        <w:rPr>
          <w:rFonts w:hint="default" w:ascii="仿宋_GB2312" w:hAnsi="仿宋_GB2312" w:eastAsia="仿宋_GB2312" w:cs="仿宋_GB2312"/>
          <w:b w:val="0"/>
          <w:bCs w:val="0"/>
          <w:sz w:val="32"/>
          <w:szCs w:val="32"/>
          <w:lang w:val="en-US" w:eastAsia="zh-CN"/>
        </w:rPr>
        <w:t>部署一套适用于肿瘤专科医院随访及健康管理场景的成熟AI大模型，具备智能语音交互、语义理解、个性化康复计划生成等核心能力，满足智能随访、患者咨询自动回复、健康宣教等业务需求。本次采购对该部分进行两种模式的价格征询：</w:t>
      </w:r>
    </w:p>
    <w:p w14:paraId="723D2D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模式一（含持续学习迭代）：AI大模型具备持续学习与迭代能力，可根据我院业务数据积累不断优化模型效果，模型迭代升级期间不得影响系统正常运行，升级费用包含在本次投标报价中。</w:t>
      </w:r>
    </w:p>
    <w:p w14:paraId="00A512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模式二（不含持续学习迭代）：AI大模型为成熟固定版本，部署后不进行模型层面的学习与迭代升级，仅保障系统正常运行及常规维护。</w:t>
      </w:r>
    </w:p>
    <w:p w14:paraId="2562AD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两种模式均需提供详细报价，由院方根据实际需求和预算综合评估后确定最终采购模式</w:t>
      </w:r>
      <w:r>
        <w:rPr>
          <w:rFonts w:hint="eastAsia" w:ascii="仿宋_GB2312" w:hAnsi="仿宋_GB2312" w:eastAsia="仿宋_GB2312" w:cs="仿宋_GB2312"/>
          <w:b w:val="0"/>
          <w:bCs w:val="0"/>
          <w:sz w:val="32"/>
          <w:szCs w:val="32"/>
          <w:lang w:val="en-US" w:eastAsia="zh-CN"/>
        </w:rPr>
        <w:t>。</w:t>
      </w:r>
    </w:p>
    <w:p w14:paraId="7025FA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网络带宽应满足我院各科室及终端同时在线访问的需求，支持不少于200个并发用户同时使用，保证高峰期系统响应流畅，页面加载时间不超过3秒，AI语音交互延迟不超过2秒。支持按需弹性扩展，确保平台运行不因带宽或性能瓶颈影响业务开展。</w:t>
      </w:r>
      <w:bookmarkStart w:id="0" w:name="_GoBack"/>
      <w:bookmarkEnd w:id="0"/>
    </w:p>
    <w:p w14:paraId="479736F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val="0"/>
          <w:bCs w:val="0"/>
          <w:sz w:val="32"/>
          <w:szCs w:val="32"/>
          <w:lang w:val="en-US" w:eastAsia="zh-CN"/>
        </w:rPr>
      </w:pPr>
    </w:p>
    <w:p w14:paraId="745B3C6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注：</w:t>
      </w:r>
    </w:p>
    <w:p w14:paraId="4AE1A7C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本项目为交钥匙工程，项目实施与运维期间产生的所有费用均由中标方承担。</w:t>
      </w:r>
    </w:p>
    <w:p w14:paraId="0BDE22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84655D-40E2-41D9-9143-C7CC9791DE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3CD4B60-81CD-4757-9C2E-D7FB943E113D}"/>
  </w:font>
  <w:font w:name="仿宋_GB2312">
    <w:altName w:val="仿宋"/>
    <w:panose1 w:val="02010609030101010101"/>
    <w:charset w:val="86"/>
    <w:family w:val="auto"/>
    <w:pitch w:val="default"/>
    <w:sig w:usb0="00000000" w:usb1="00000000" w:usb2="00000000" w:usb3="00000000" w:csb0="00040000" w:csb1="00000000"/>
    <w:embedRegular r:id="rId3" w:fontKey="{88F22AFF-4353-4C9C-B522-3BE5D7E74A31}"/>
  </w:font>
  <w:font w:name="仿宋">
    <w:panose1 w:val="02010609060101010101"/>
    <w:charset w:val="86"/>
    <w:family w:val="modern"/>
    <w:pitch w:val="default"/>
    <w:sig w:usb0="800002BF" w:usb1="38CF7CFA" w:usb2="00000016" w:usb3="00000000" w:csb0="00040001" w:csb1="00000000"/>
    <w:embedRegular r:id="rId4" w:fontKey="{ECE5862E-06DC-47EE-9E5E-35829FF0C3E2}"/>
  </w:font>
  <w:font w:name="楷体_GB2312">
    <w:altName w:val="楷体"/>
    <w:panose1 w:val="02010609030101010101"/>
    <w:charset w:val="86"/>
    <w:family w:val="auto"/>
    <w:pitch w:val="default"/>
    <w:sig w:usb0="00000000" w:usb1="00000000" w:usb2="00000000" w:usb3="00000000" w:csb0="00040000" w:csb1="00000000"/>
    <w:embedRegular r:id="rId5" w:fontKey="{1BFFC8AD-DD92-4831-8E23-BB2405216B3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C04A4"/>
    <w:rsid w:val="07AF43CA"/>
    <w:rsid w:val="082F2DE0"/>
    <w:rsid w:val="10F432C5"/>
    <w:rsid w:val="180D0015"/>
    <w:rsid w:val="294B7965"/>
    <w:rsid w:val="3AE6D304"/>
    <w:rsid w:val="4029472F"/>
    <w:rsid w:val="41DD4BAA"/>
    <w:rsid w:val="47493E4B"/>
    <w:rsid w:val="4E6E6621"/>
    <w:rsid w:val="58E52E67"/>
    <w:rsid w:val="59D63482"/>
    <w:rsid w:val="603D6413"/>
    <w:rsid w:val="682B201F"/>
    <w:rsid w:val="6FFDE8B1"/>
    <w:rsid w:val="70BE1155"/>
    <w:rsid w:val="71834994"/>
    <w:rsid w:val="758E7480"/>
    <w:rsid w:val="BF6F528D"/>
    <w:rsid w:val="C7FF2FD1"/>
    <w:rsid w:val="FEF34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4821</Words>
  <Characters>4971</Characters>
  <Lines>0</Lines>
  <Paragraphs>0</Paragraphs>
  <TotalTime>10</TotalTime>
  <ScaleCrop>false</ScaleCrop>
  <LinksUpToDate>false</LinksUpToDate>
  <CharactersWithSpaces>5024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2026-05-14T17:34:00Z</dcterms:created>
  <dc:creator>Administrator</dc:creator>
  <cp:lastModifiedBy>IceWatermelon</cp:lastModifiedBy>
  <dcterms:modified xsi:type="dcterms:W3CDTF">2026-08-06T10:02:02Z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eyJoZGlkIjoiMzhkYWM2MTBlMmMyYjFkZGJkNDU4NmIxMTFmYjlmMjEiLCJ1c2VySWQiOiI0NzI0NzAxMDcifQ==</vt:lpwstr>
  </property>
  <property fmtid="{D5CDD505-2E9C-101B-9397-08002B2CF9AE}" pid="4" name="ICV">
    <vt:lpwstr>42C9FD47EC90E6806A44746A7201068C_43</vt:lpwstr>
  </property>
</Properties>
</file>